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9C13BE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DTC</w:t>
      </w:r>
      <w:r w:rsidR="00197CF1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Genera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 Mandate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C13BE">
        <w:rPr>
          <w:rFonts w:ascii="Arial" w:hAnsi="Arial" w:cs="Arial"/>
          <w:sz w:val="20"/>
          <w:szCs w:val="20"/>
        </w:rPr>
        <w:t>09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C13BE" w:rsidRPr="009C13BE">
        <w:rPr>
          <w:rFonts w:ascii="Arial" w:hAnsi="Arial" w:cs="Arial"/>
          <w:sz w:val="20"/>
          <w:szCs w:val="20"/>
        </w:rPr>
        <w:t>Viglacera</w:t>
      </w:r>
      <w:proofErr w:type="spellEnd"/>
      <w:r w:rsidR="009C13BE" w:rsidRPr="009C13BE">
        <w:rPr>
          <w:rFonts w:ascii="Arial" w:hAnsi="Arial" w:cs="Arial"/>
          <w:sz w:val="20"/>
          <w:szCs w:val="20"/>
        </w:rPr>
        <w:t xml:space="preserve"> Dong </w:t>
      </w:r>
      <w:proofErr w:type="spellStart"/>
      <w:r w:rsidR="009C13BE" w:rsidRPr="009C13BE">
        <w:rPr>
          <w:rFonts w:ascii="Arial" w:hAnsi="Arial" w:cs="Arial"/>
          <w:sz w:val="20"/>
          <w:szCs w:val="20"/>
        </w:rPr>
        <w:t>Trieu</w:t>
      </w:r>
      <w:proofErr w:type="spellEnd"/>
      <w:r w:rsidR="009C13BE" w:rsidRPr="009C13BE">
        <w:rPr>
          <w:rFonts w:ascii="Arial" w:hAnsi="Arial" w:cs="Arial"/>
          <w:sz w:val="20"/>
          <w:szCs w:val="20"/>
        </w:rPr>
        <w:t xml:space="preserve"> </w:t>
      </w:r>
      <w:r w:rsidR="009C13BE">
        <w:rPr>
          <w:rFonts w:ascii="Arial" w:hAnsi="Arial" w:cs="Arial"/>
          <w:sz w:val="20"/>
          <w:szCs w:val="20"/>
        </w:rPr>
        <w:t>Joint Stock Company</w:t>
      </w:r>
      <w:r w:rsidR="00BD3C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9C13BE">
        <w:rPr>
          <w:rFonts w:ascii="Arial" w:hAnsi="Arial" w:cs="Arial"/>
          <w:sz w:val="20"/>
          <w:szCs w:val="20"/>
        </w:rPr>
        <w:t>General Mandate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C13BE" w:rsidRDefault="009C13B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reports of Board of Directors, Supervisory Board, operation results of 2019 and audited financial statement </w:t>
      </w:r>
    </w:p>
    <w:p w:rsidR="009C13BE" w:rsidRDefault="009C13B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Report of Board of Directors on operation results of 2019 and 2020 operation plan</w:t>
      </w:r>
    </w:p>
    <w:p w:rsidR="009C13BE" w:rsidRDefault="009C13B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Report of Supervisory Board on operation results of 2019</w:t>
      </w:r>
    </w:p>
    <w:p w:rsidR="009C13BE" w:rsidRDefault="009C13B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Report on the operation results of 2019 and Management Board </w:t>
      </w:r>
    </w:p>
    <w:p w:rsidR="009C13BE" w:rsidRDefault="009C13B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indicators of the </w:t>
      </w:r>
      <w:r>
        <w:rPr>
          <w:rFonts w:ascii="Arial" w:hAnsi="Arial" w:cs="Arial"/>
          <w:sz w:val="20"/>
          <w:szCs w:val="20"/>
        </w:rPr>
        <w:t>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979"/>
        <w:gridCol w:w="1172"/>
        <w:gridCol w:w="1206"/>
        <w:gridCol w:w="1176"/>
        <w:gridCol w:w="1206"/>
        <w:gridCol w:w="1206"/>
        <w:gridCol w:w="1159"/>
      </w:tblGrid>
      <w:tr w:rsidR="009C13BE" w:rsidTr="00B56754">
        <w:tc>
          <w:tcPr>
            <w:tcW w:w="472" w:type="dxa"/>
            <w:vMerge w:val="restart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79" w:type="dxa"/>
            <w:vMerge w:val="restart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172" w:type="dxa"/>
            <w:vMerge w:val="restart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206" w:type="dxa"/>
            <w:vMerge w:val="restart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2018</w:t>
            </w:r>
          </w:p>
        </w:tc>
        <w:tc>
          <w:tcPr>
            <w:tcW w:w="1176" w:type="dxa"/>
            <w:vMerge w:val="restart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206" w:type="dxa"/>
            <w:vMerge w:val="restart"/>
          </w:tcPr>
          <w:p w:rsidR="009C13BE" w:rsidRDefault="009C13BE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2365" w:type="dxa"/>
            <w:gridSpan w:val="2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Realization 2019</w:t>
            </w:r>
          </w:p>
        </w:tc>
      </w:tr>
      <w:tr w:rsidR="009C13BE" w:rsidTr="009C13BE">
        <w:tc>
          <w:tcPr>
            <w:tcW w:w="472" w:type="dxa"/>
            <w:vMerge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9C13BE" w:rsidRDefault="009C13BE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2018</w:t>
            </w:r>
          </w:p>
        </w:tc>
        <w:tc>
          <w:tcPr>
            <w:tcW w:w="1159" w:type="dxa"/>
          </w:tcPr>
          <w:p w:rsidR="009C13BE" w:rsidRDefault="009C13BE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</w:tr>
      <w:tr w:rsidR="009C13BE" w:rsidTr="009C13BE">
        <w:tc>
          <w:tcPr>
            <w:tcW w:w="472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172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19,472</w:t>
            </w:r>
          </w:p>
        </w:tc>
        <w:tc>
          <w:tcPr>
            <w:tcW w:w="117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20,019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15,614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  <w:tc>
          <w:tcPr>
            <w:tcW w:w="115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9C13BE" w:rsidTr="009C13BE">
        <w:tc>
          <w:tcPr>
            <w:tcW w:w="472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172" w:type="dxa"/>
          </w:tcPr>
          <w:p w:rsidR="009C13BE" w:rsidRDefault="009C13BE">
            <w:r w:rsidRPr="00412B72"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334,681</w:t>
            </w:r>
          </w:p>
        </w:tc>
        <w:tc>
          <w:tcPr>
            <w:tcW w:w="117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340,338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310,821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</w:t>
            </w:r>
          </w:p>
        </w:tc>
        <w:tc>
          <w:tcPr>
            <w:tcW w:w="115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</w:t>
            </w:r>
          </w:p>
        </w:tc>
      </w:tr>
      <w:tr w:rsidR="009C13BE" w:rsidTr="009C13BE">
        <w:tc>
          <w:tcPr>
            <w:tcW w:w="472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172" w:type="dxa"/>
          </w:tcPr>
          <w:p w:rsidR="009C13BE" w:rsidRDefault="009C13BE">
            <w:r w:rsidRPr="00412B72"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15,169</w:t>
            </w:r>
          </w:p>
        </w:tc>
        <w:tc>
          <w:tcPr>
            <w:tcW w:w="117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15,548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20,158</w:t>
            </w: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132.9</w:t>
            </w:r>
          </w:p>
        </w:tc>
        <w:tc>
          <w:tcPr>
            <w:tcW w:w="115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129.7</w:t>
            </w:r>
          </w:p>
        </w:tc>
      </w:tr>
      <w:tr w:rsidR="009C13BE" w:rsidTr="009C13BE">
        <w:tc>
          <w:tcPr>
            <w:tcW w:w="472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and income</w:t>
            </w:r>
          </w:p>
        </w:tc>
        <w:tc>
          <w:tcPr>
            <w:tcW w:w="1172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3BE" w:rsidTr="009C13BE">
        <w:tc>
          <w:tcPr>
            <w:tcW w:w="472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labor</w:t>
            </w:r>
          </w:p>
        </w:tc>
        <w:tc>
          <w:tcPr>
            <w:tcW w:w="1172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17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</w:t>
            </w:r>
          </w:p>
        </w:tc>
        <w:tc>
          <w:tcPr>
            <w:tcW w:w="1159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100.1</w:t>
            </w:r>
          </w:p>
        </w:tc>
      </w:tr>
      <w:tr w:rsidR="009C13BE" w:rsidTr="009C13BE">
        <w:tc>
          <w:tcPr>
            <w:tcW w:w="472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172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1,000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8,064</w:t>
            </w:r>
          </w:p>
        </w:tc>
        <w:tc>
          <w:tcPr>
            <w:tcW w:w="117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8,100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8,709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  <w:tc>
          <w:tcPr>
            <w:tcW w:w="1159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107.5</w:t>
            </w:r>
          </w:p>
        </w:tc>
      </w:tr>
      <w:tr w:rsidR="009C13BE" w:rsidTr="009C13BE">
        <w:tc>
          <w:tcPr>
            <w:tcW w:w="472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Receivable debts and inventory of finished products</w:t>
            </w:r>
          </w:p>
        </w:tc>
        <w:tc>
          <w:tcPr>
            <w:tcW w:w="1172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9C13BE" w:rsidRDefault="009C13BE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3BE" w:rsidTr="009C13BE">
        <w:tc>
          <w:tcPr>
            <w:tcW w:w="472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Receivables from customers</w:t>
            </w:r>
          </w:p>
        </w:tc>
        <w:tc>
          <w:tcPr>
            <w:tcW w:w="1172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5,409</w:t>
            </w:r>
          </w:p>
        </w:tc>
        <w:tc>
          <w:tcPr>
            <w:tcW w:w="117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5,250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5,344</w:t>
            </w:r>
          </w:p>
        </w:tc>
        <w:tc>
          <w:tcPr>
            <w:tcW w:w="1206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1159" w:type="dxa"/>
          </w:tcPr>
          <w:p w:rsidR="009C13BE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101.8</w:t>
            </w:r>
          </w:p>
        </w:tc>
      </w:tr>
      <w:tr w:rsidR="00B92B75" w:rsidTr="009C13BE">
        <w:tc>
          <w:tcPr>
            <w:tcW w:w="472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inventory of finished products</w:t>
            </w:r>
          </w:p>
        </w:tc>
        <w:tc>
          <w:tcPr>
            <w:tcW w:w="1172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26,258</w:t>
            </w:r>
          </w:p>
        </w:tc>
        <w:tc>
          <w:tcPr>
            <w:tcW w:w="117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27,742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53,263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202.8</w:t>
            </w:r>
          </w:p>
        </w:tc>
        <w:tc>
          <w:tcPr>
            <w:tcW w:w="1159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</w:t>
            </w:r>
          </w:p>
        </w:tc>
      </w:tr>
      <w:tr w:rsidR="00B92B75" w:rsidTr="009C13BE">
        <w:tc>
          <w:tcPr>
            <w:tcW w:w="472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value</w:t>
            </w:r>
          </w:p>
        </w:tc>
        <w:tc>
          <w:tcPr>
            <w:tcW w:w="1172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332,657</w:t>
            </w:r>
          </w:p>
        </w:tc>
        <w:tc>
          <w:tcPr>
            <w:tcW w:w="117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332,700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340,584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</w:t>
            </w:r>
          </w:p>
        </w:tc>
        <w:tc>
          <w:tcPr>
            <w:tcW w:w="1159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</w:t>
            </w:r>
          </w:p>
        </w:tc>
      </w:tr>
      <w:tr w:rsidR="00B92B75" w:rsidTr="009C13BE">
        <w:tc>
          <w:tcPr>
            <w:tcW w:w="472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State’s budget </w:t>
            </w:r>
          </w:p>
        </w:tc>
        <w:tc>
          <w:tcPr>
            <w:tcW w:w="1172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15,559</w:t>
            </w:r>
          </w:p>
        </w:tc>
        <w:tc>
          <w:tcPr>
            <w:tcW w:w="117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14,728</w:t>
            </w:r>
          </w:p>
        </w:tc>
        <w:tc>
          <w:tcPr>
            <w:tcW w:w="1206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94.7</w:t>
            </w:r>
          </w:p>
        </w:tc>
        <w:tc>
          <w:tcPr>
            <w:tcW w:w="1159" w:type="dxa"/>
          </w:tcPr>
          <w:p w:rsidR="00B92B75" w:rsidRDefault="00B92B7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3BE" w:rsidRDefault="009C13BE" w:rsidP="00F903A5">
      <w:pPr>
        <w:jc w:val="both"/>
        <w:rPr>
          <w:rFonts w:ascii="Arial" w:hAnsi="Arial" w:cs="Arial"/>
          <w:sz w:val="20"/>
          <w:szCs w:val="20"/>
        </w:rPr>
      </w:pPr>
    </w:p>
    <w:p w:rsidR="00B92B75" w:rsidRDefault="00B92B7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Audited financial statement of 2019</w:t>
      </w:r>
    </w:p>
    <w:p w:rsidR="00B92B75" w:rsidRDefault="00B92B75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operation results of the Company from 01 Jan 2019 to 31 Dec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979"/>
        <w:gridCol w:w="1172"/>
        <w:gridCol w:w="1206"/>
        <w:gridCol w:w="1176"/>
        <w:gridCol w:w="1206"/>
        <w:gridCol w:w="1206"/>
        <w:gridCol w:w="1159"/>
      </w:tblGrid>
      <w:tr w:rsidR="00B92B75" w:rsidTr="005F14A4">
        <w:tc>
          <w:tcPr>
            <w:tcW w:w="472" w:type="dxa"/>
            <w:vMerge w:val="restart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79" w:type="dxa"/>
            <w:vMerge w:val="restart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172" w:type="dxa"/>
            <w:vMerge w:val="restart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206" w:type="dxa"/>
            <w:vMerge w:val="restart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2018</w:t>
            </w:r>
          </w:p>
        </w:tc>
        <w:tc>
          <w:tcPr>
            <w:tcW w:w="1176" w:type="dxa"/>
            <w:vMerge w:val="restart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206" w:type="dxa"/>
            <w:vMerge w:val="restart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2365" w:type="dxa"/>
            <w:gridSpan w:val="2"/>
          </w:tcPr>
          <w:p w:rsidR="00B92B75" w:rsidRDefault="00B92B75" w:rsidP="00B92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Comparison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  <w:tr w:rsidR="00B92B75" w:rsidTr="005F14A4">
        <w:tc>
          <w:tcPr>
            <w:tcW w:w="472" w:type="dxa"/>
            <w:vMerge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59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B92B75" w:rsidTr="005F14A4">
        <w:tc>
          <w:tcPr>
            <w:tcW w:w="472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from selling goods and services</w:t>
            </w:r>
          </w:p>
        </w:tc>
        <w:tc>
          <w:tcPr>
            <w:tcW w:w="1172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206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334,681</w:t>
            </w:r>
          </w:p>
        </w:tc>
        <w:tc>
          <w:tcPr>
            <w:tcW w:w="1176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340,338</w:t>
            </w:r>
          </w:p>
        </w:tc>
        <w:tc>
          <w:tcPr>
            <w:tcW w:w="1206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310,821</w:t>
            </w:r>
          </w:p>
        </w:tc>
        <w:tc>
          <w:tcPr>
            <w:tcW w:w="1206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59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B92B75" w:rsidTr="005F14A4">
        <w:tc>
          <w:tcPr>
            <w:tcW w:w="472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172" w:type="dxa"/>
          </w:tcPr>
          <w:p w:rsidR="00B92B75" w:rsidRDefault="00B92B75" w:rsidP="005F14A4">
            <w:r>
              <w:t xml:space="preserve">Million dongs </w:t>
            </w:r>
          </w:p>
        </w:tc>
        <w:tc>
          <w:tcPr>
            <w:tcW w:w="1206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19,472</w:t>
            </w:r>
          </w:p>
        </w:tc>
        <w:tc>
          <w:tcPr>
            <w:tcW w:w="117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20,018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15,614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59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B92B75" w:rsidTr="005F14A4">
        <w:tc>
          <w:tcPr>
            <w:tcW w:w="472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172" w:type="dxa"/>
          </w:tcPr>
          <w:p w:rsidR="00B92B75" w:rsidRDefault="00B92B75" w:rsidP="005F14A4">
            <w:r>
              <w:t xml:space="preserve">Million </w:t>
            </w:r>
            <w:r>
              <w:lastRenderedPageBreak/>
              <w:t xml:space="preserve">dongs 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15,521</w:t>
            </w:r>
          </w:p>
        </w:tc>
        <w:tc>
          <w:tcPr>
            <w:tcW w:w="117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12,457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59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B92B75" w:rsidTr="005F14A4">
        <w:tc>
          <w:tcPr>
            <w:tcW w:w="472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9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Earnings per share</w:t>
            </w:r>
          </w:p>
        </w:tc>
        <w:tc>
          <w:tcPr>
            <w:tcW w:w="1172" w:type="dxa"/>
          </w:tcPr>
          <w:p w:rsidR="00B92B75" w:rsidRDefault="00B92B75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1,552</w:t>
            </w:r>
          </w:p>
        </w:tc>
        <w:tc>
          <w:tcPr>
            <w:tcW w:w="117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1,246</w:t>
            </w:r>
          </w:p>
        </w:tc>
        <w:tc>
          <w:tcPr>
            <w:tcW w:w="1206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59" w:type="dxa"/>
          </w:tcPr>
          <w:p w:rsidR="00B92B75" w:rsidRDefault="00BF2439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</w:tbl>
    <w:p w:rsidR="00B92B75" w:rsidRDefault="00B92B75" w:rsidP="00F903A5">
      <w:pPr>
        <w:jc w:val="both"/>
        <w:rPr>
          <w:rFonts w:ascii="Arial" w:hAnsi="Arial" w:cs="Arial"/>
          <w:sz w:val="20"/>
          <w:szCs w:val="20"/>
        </w:rPr>
      </w:pPr>
    </w:p>
    <w:p w:rsidR="00BF2439" w:rsidRDefault="00BF24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General Meeting of Shareholders approved the operation plan of 2020 and investment plan for 2020 as follows:</w:t>
      </w:r>
    </w:p>
    <w:p w:rsidR="00BF2439" w:rsidRDefault="00BF24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Main indicators of operation plan of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1596"/>
        <w:gridCol w:w="1596"/>
        <w:gridCol w:w="1596"/>
        <w:gridCol w:w="1596"/>
      </w:tblGrid>
      <w:tr w:rsidR="00BF2439" w:rsidTr="00BF2439">
        <w:tc>
          <w:tcPr>
            <w:tcW w:w="558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Plan/ Realization 2019</w:t>
            </w:r>
          </w:p>
        </w:tc>
      </w:tr>
      <w:tr w:rsidR="00BF2439" w:rsidTr="00BF2439">
        <w:tc>
          <w:tcPr>
            <w:tcW w:w="558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310,821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389,732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BF2439" w:rsidTr="00BF2439">
        <w:tc>
          <w:tcPr>
            <w:tcW w:w="558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96" w:type="dxa"/>
          </w:tcPr>
          <w:p w:rsidR="00BF2439" w:rsidRDefault="00BF2439">
            <w:r w:rsidRPr="00C41CE6"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15,614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30,016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BF2439" w:rsidTr="00BF2439">
        <w:tc>
          <w:tcPr>
            <w:tcW w:w="558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596" w:type="dxa"/>
          </w:tcPr>
          <w:p w:rsidR="00BF2439" w:rsidRDefault="00BF2439">
            <w:r w:rsidRPr="00C41CE6">
              <w:rPr>
                <w:rFonts w:ascii="Arial" w:hAnsi="Arial" w:cs="Arial"/>
                <w:sz w:val="20"/>
                <w:szCs w:val="20"/>
              </w:rPr>
              <w:t xml:space="preserve">Million dongs 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20,158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22,302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BF2439" w:rsidTr="00BF2439">
        <w:tc>
          <w:tcPr>
            <w:tcW w:w="558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1,000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8,709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8,810</w:t>
            </w:r>
          </w:p>
        </w:tc>
        <w:tc>
          <w:tcPr>
            <w:tcW w:w="1596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</w:tbl>
    <w:p w:rsidR="00BF2439" w:rsidRDefault="00BF2439" w:rsidP="00F903A5">
      <w:pPr>
        <w:jc w:val="both"/>
        <w:rPr>
          <w:rFonts w:ascii="Arial" w:hAnsi="Arial" w:cs="Arial"/>
          <w:sz w:val="20"/>
          <w:szCs w:val="20"/>
        </w:rPr>
      </w:pPr>
    </w:p>
    <w:p w:rsidR="00BF2439" w:rsidRDefault="00BF243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Investment Plan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675"/>
        <w:gridCol w:w="1350"/>
        <w:gridCol w:w="1163"/>
        <w:gridCol w:w="1915"/>
      </w:tblGrid>
      <w:tr w:rsidR="00BF2439" w:rsidTr="009B385D">
        <w:tc>
          <w:tcPr>
            <w:tcW w:w="473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75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Project/ investment items</w:t>
            </w:r>
          </w:p>
        </w:tc>
        <w:tc>
          <w:tcPr>
            <w:tcW w:w="1350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163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915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 (million dongs)</w:t>
            </w:r>
          </w:p>
        </w:tc>
      </w:tr>
      <w:tr w:rsidR="00BF2439" w:rsidTr="009B385D">
        <w:tc>
          <w:tcPr>
            <w:tcW w:w="473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Plant 1</w:t>
            </w:r>
          </w:p>
        </w:tc>
        <w:tc>
          <w:tcPr>
            <w:tcW w:w="1350" w:type="dxa"/>
          </w:tcPr>
          <w:p w:rsidR="00BF2439" w:rsidRDefault="00BF2439" w:rsidP="00D0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BF2439" w:rsidRDefault="00BF243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BF2439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5,907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439">
              <w:rPr>
                <w:rFonts w:ascii="Arial" w:hAnsi="Arial" w:cs="Arial"/>
                <w:sz w:val="20"/>
                <w:szCs w:val="20"/>
              </w:rPr>
              <w:t>Wat</w:t>
            </w:r>
            <w:r>
              <w:rPr>
                <w:rFonts w:ascii="Arial" w:hAnsi="Arial" w:cs="Arial"/>
                <w:sz w:val="20"/>
                <w:szCs w:val="20"/>
              </w:rPr>
              <w:t>er ring vacuum pump (</w:t>
            </w:r>
            <w:r w:rsidRPr="00BF2439">
              <w:rPr>
                <w:rFonts w:ascii="Arial" w:hAnsi="Arial" w:cs="Arial"/>
                <w:sz w:val="20"/>
                <w:szCs w:val="20"/>
              </w:rPr>
              <w:t>extruder system No. 2)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Turbocharger/</w:t>
            </w:r>
            <w:r w:rsidRPr="00BF24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Booster pump (</w:t>
            </w:r>
            <w:r w:rsidRPr="00BF2439">
              <w:rPr>
                <w:rFonts w:ascii="Arial" w:hAnsi="Arial" w:cs="Arial"/>
                <w:sz w:val="20"/>
                <w:szCs w:val="20"/>
              </w:rPr>
              <w:t xml:space="preserve"> extruder system 1 and 2)</w:t>
            </w:r>
          </w:p>
        </w:tc>
        <w:tc>
          <w:tcPr>
            <w:tcW w:w="1350" w:type="dxa"/>
          </w:tcPr>
          <w:p w:rsidR="006F0294" w:rsidRDefault="006F0294">
            <w:r w:rsidRPr="00CD7EA3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BF2439">
              <w:rPr>
                <w:rFonts w:ascii="Arial" w:hAnsi="Arial" w:cs="Arial"/>
                <w:sz w:val="20"/>
                <w:szCs w:val="20"/>
              </w:rPr>
              <w:t xml:space="preserve">5Kw oil ring vacuum pump </w:t>
            </w:r>
            <w:r>
              <w:rPr>
                <w:rFonts w:ascii="Arial" w:hAnsi="Arial" w:cs="Arial"/>
                <w:sz w:val="20"/>
                <w:szCs w:val="20"/>
              </w:rPr>
              <w:t>(Installed for tile pressing</w:t>
            </w:r>
            <w:r w:rsidRPr="00BF2439">
              <w:rPr>
                <w:rFonts w:ascii="Arial" w:hAnsi="Arial" w:cs="Arial"/>
                <w:sz w:val="20"/>
                <w:szCs w:val="20"/>
              </w:rPr>
              <w:t xml:space="preserve"> machines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6F0294" w:rsidRDefault="006F0294">
            <w:r w:rsidRPr="00CD7EA3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Kw s</w:t>
            </w:r>
            <w:r w:rsidRPr="00BF2439">
              <w:rPr>
                <w:rFonts w:ascii="Arial" w:hAnsi="Arial" w:cs="Arial"/>
                <w:sz w:val="20"/>
                <w:szCs w:val="20"/>
              </w:rPr>
              <w:t>crew air compressor</w:t>
            </w:r>
          </w:p>
        </w:tc>
        <w:tc>
          <w:tcPr>
            <w:tcW w:w="1350" w:type="dxa"/>
          </w:tcPr>
          <w:p w:rsidR="006F0294" w:rsidRDefault="006F0294">
            <w:r w:rsidRPr="00CD7EA3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</w:tcPr>
          <w:p w:rsidR="006F0294" w:rsidRDefault="006F0294" w:rsidP="00D0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3-ton </w:t>
            </w:r>
            <w:r w:rsidRPr="00BF2439">
              <w:rPr>
                <w:rFonts w:ascii="Arial" w:hAnsi="Arial" w:cs="Arial"/>
                <w:sz w:val="20"/>
                <w:szCs w:val="20"/>
              </w:rPr>
              <w:t>Forklift 3 tons (</w:t>
            </w:r>
            <w:r>
              <w:rPr>
                <w:rFonts w:ascii="Arial" w:hAnsi="Arial" w:cs="Arial"/>
                <w:sz w:val="20"/>
                <w:szCs w:val="20"/>
              </w:rPr>
              <w:t>mad in China)</w:t>
            </w:r>
          </w:p>
        </w:tc>
        <w:tc>
          <w:tcPr>
            <w:tcW w:w="1350" w:type="dxa"/>
          </w:tcPr>
          <w:p w:rsidR="006F0294" w:rsidRDefault="006F0294">
            <w:r w:rsidRPr="00CD7EA3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439">
              <w:rPr>
                <w:rFonts w:ascii="Arial" w:hAnsi="Arial" w:cs="Arial"/>
                <w:sz w:val="20"/>
                <w:szCs w:val="20"/>
              </w:rPr>
              <w:t>Investing in the air conditioner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canteen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439">
              <w:rPr>
                <w:rFonts w:ascii="Arial" w:hAnsi="Arial" w:cs="Arial"/>
                <w:sz w:val="20"/>
                <w:szCs w:val="20"/>
              </w:rPr>
              <w:t>Automatic strapping system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439">
              <w:rPr>
                <w:rFonts w:ascii="Arial" w:hAnsi="Arial" w:cs="Arial"/>
                <w:sz w:val="20"/>
                <w:szCs w:val="20"/>
              </w:rPr>
              <w:t>Building toilets in production areas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439">
              <w:rPr>
                <w:rFonts w:ascii="Arial" w:hAnsi="Arial" w:cs="Arial"/>
                <w:sz w:val="20"/>
                <w:szCs w:val="20"/>
              </w:rPr>
              <w:t>Investment in domestic wastewater treatment system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ground (6,920 m2 area)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63" w:type="dxa"/>
          </w:tcPr>
          <w:p w:rsidR="006F0294" w:rsidRDefault="006F0294" w:rsidP="005F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6,920</w:t>
            </w: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2,422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 Ha Plant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F0294" w:rsidTr="009B385D">
        <w:tc>
          <w:tcPr>
            <w:tcW w:w="47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0294" w:rsidRDefault="006F0294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5,907</w:t>
            </w:r>
          </w:p>
        </w:tc>
      </w:tr>
    </w:tbl>
    <w:p w:rsidR="006F0294" w:rsidRDefault="006F0294" w:rsidP="00F903A5">
      <w:pPr>
        <w:jc w:val="both"/>
        <w:rPr>
          <w:rFonts w:ascii="Arial" w:hAnsi="Arial" w:cs="Arial"/>
          <w:sz w:val="20"/>
          <w:szCs w:val="20"/>
        </w:rPr>
      </w:pPr>
    </w:p>
    <w:p w:rsidR="006F0294" w:rsidRDefault="006F029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implementing the projects</w:t>
      </w:r>
      <w:r w:rsidRPr="006F0294">
        <w:rPr>
          <w:rFonts w:ascii="Arial" w:hAnsi="Arial" w:cs="Arial"/>
          <w:sz w:val="20"/>
          <w:szCs w:val="20"/>
        </w:rPr>
        <w:t xml:space="preserve">/ investment items authorized by the General Meeting of Shareholders and assigning the Board of Directors to make detailed plans, select the appropriate time, evaluate and approve the implementation in accordance </w:t>
      </w:r>
      <w:r>
        <w:rPr>
          <w:rFonts w:ascii="Arial" w:hAnsi="Arial" w:cs="Arial"/>
          <w:sz w:val="20"/>
          <w:szCs w:val="20"/>
        </w:rPr>
        <w:t>with the Company's Charter</w:t>
      </w:r>
    </w:p>
    <w:p w:rsidR="006F0294" w:rsidRDefault="006F029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6F0294">
        <w:rPr>
          <w:rFonts w:ascii="Arial" w:hAnsi="Arial" w:cs="Arial"/>
          <w:sz w:val="20"/>
          <w:szCs w:val="20"/>
        </w:rPr>
        <w:t>The General Meeting of Shareholders appro</w:t>
      </w:r>
      <w:r>
        <w:rPr>
          <w:rFonts w:ascii="Arial" w:hAnsi="Arial" w:cs="Arial"/>
          <w:sz w:val="20"/>
          <w:szCs w:val="20"/>
        </w:rPr>
        <w:t>ved the use of profits in 2019;</w:t>
      </w:r>
      <w:r w:rsidRPr="006F0294">
        <w:rPr>
          <w:rFonts w:ascii="Arial" w:hAnsi="Arial" w:cs="Arial"/>
          <w:sz w:val="20"/>
          <w:szCs w:val="20"/>
        </w:rPr>
        <w:t xml:space="preserve"> Approving the profit distribution plan for 2020: </w:t>
      </w:r>
    </w:p>
    <w:p w:rsidR="006F0294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1. Use profits in 2019: </w:t>
      </w:r>
    </w:p>
    <w:p w:rsidR="006F0294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Profit after tax in 20</w:t>
      </w:r>
      <w:r>
        <w:rPr>
          <w:rFonts w:ascii="Arial" w:hAnsi="Arial" w:cs="Arial"/>
          <w:sz w:val="20"/>
          <w:szCs w:val="20"/>
        </w:rPr>
        <w:t xml:space="preserve">19: VND 12,457,366,142; </w:t>
      </w:r>
      <w:r w:rsidRPr="006F0294">
        <w:rPr>
          <w:rFonts w:ascii="Arial" w:hAnsi="Arial" w:cs="Arial"/>
          <w:sz w:val="20"/>
          <w:szCs w:val="20"/>
        </w:rPr>
        <w:t>the entire profit after tax in 2019 will be used to offset the accumulated losses o</w:t>
      </w:r>
      <w:r>
        <w:rPr>
          <w:rFonts w:ascii="Arial" w:hAnsi="Arial" w:cs="Arial"/>
          <w:sz w:val="20"/>
          <w:szCs w:val="20"/>
        </w:rPr>
        <w:t>f the previous financial years</w:t>
      </w:r>
    </w:p>
    <w:p w:rsidR="00DE2E64" w:rsidRDefault="006F029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6F0294">
        <w:rPr>
          <w:rFonts w:ascii="Arial" w:hAnsi="Arial" w:cs="Arial"/>
          <w:sz w:val="20"/>
          <w:szCs w:val="20"/>
        </w:rPr>
        <w:t>Profit distribution plan in 2020: Based on current regulations and business plan in 2020</w:t>
      </w:r>
      <w:r w:rsidR="00DE2E64">
        <w:rPr>
          <w:rFonts w:ascii="Arial" w:hAnsi="Arial" w:cs="Arial"/>
          <w:sz w:val="20"/>
          <w:szCs w:val="20"/>
        </w:rPr>
        <w:t>, t</w:t>
      </w:r>
      <w:r w:rsidRPr="006F0294">
        <w:rPr>
          <w:rFonts w:ascii="Arial" w:hAnsi="Arial" w:cs="Arial"/>
          <w:sz w:val="20"/>
          <w:szCs w:val="20"/>
        </w:rPr>
        <w:t xml:space="preserve">he General </w:t>
      </w:r>
      <w:r w:rsidR="00DE2E64">
        <w:rPr>
          <w:rFonts w:ascii="Arial" w:hAnsi="Arial" w:cs="Arial"/>
          <w:sz w:val="20"/>
          <w:szCs w:val="20"/>
        </w:rPr>
        <w:t>Meeting of Shareholders approved</w:t>
      </w:r>
      <w:r w:rsidRPr="006F0294">
        <w:rPr>
          <w:rFonts w:ascii="Arial" w:hAnsi="Arial" w:cs="Arial"/>
          <w:sz w:val="20"/>
          <w:szCs w:val="20"/>
        </w:rPr>
        <w:t xml:space="preserve"> the plan for afte</w:t>
      </w:r>
      <w:r w:rsidR="00DE2E64">
        <w:rPr>
          <w:rFonts w:ascii="Arial" w:hAnsi="Arial" w:cs="Arial"/>
          <w:sz w:val="20"/>
          <w:szCs w:val="20"/>
        </w:rPr>
        <w:t>r-tax profit distribution</w:t>
      </w:r>
      <w:r w:rsidRPr="006F0294">
        <w:rPr>
          <w:rFonts w:ascii="Arial" w:hAnsi="Arial" w:cs="Arial"/>
          <w:sz w:val="20"/>
          <w:szCs w:val="20"/>
        </w:rPr>
        <w:t xml:space="preserve"> in 2020 as follows </w:t>
      </w:r>
    </w:p>
    <w:p w:rsidR="00DE2E64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Offsetting </w:t>
      </w:r>
      <w:r w:rsidR="00DE2E64">
        <w:rPr>
          <w:rFonts w:ascii="Arial" w:hAnsi="Arial" w:cs="Arial"/>
          <w:sz w:val="20"/>
          <w:szCs w:val="20"/>
        </w:rPr>
        <w:t>a</w:t>
      </w:r>
      <w:r w:rsidRPr="006F0294">
        <w:rPr>
          <w:rFonts w:ascii="Arial" w:hAnsi="Arial" w:cs="Arial"/>
          <w:sz w:val="20"/>
          <w:szCs w:val="20"/>
        </w:rPr>
        <w:t xml:space="preserve">ccumulated </w:t>
      </w:r>
      <w:r w:rsidR="00DE2E64">
        <w:rPr>
          <w:rFonts w:ascii="Arial" w:hAnsi="Arial" w:cs="Arial"/>
          <w:sz w:val="20"/>
          <w:szCs w:val="20"/>
        </w:rPr>
        <w:t>losses of the previous year</w:t>
      </w:r>
    </w:p>
    <w:p w:rsidR="00DE2E64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- Appropriation to financial reserve fund an</w:t>
      </w:r>
      <w:r w:rsidR="00DE2E64">
        <w:rPr>
          <w:rFonts w:ascii="Arial" w:hAnsi="Arial" w:cs="Arial"/>
          <w:sz w:val="20"/>
          <w:szCs w:val="20"/>
        </w:rPr>
        <w:t>d professional risks: 5% x (Profit after tax</w:t>
      </w:r>
      <w:r w:rsidRPr="006F0294">
        <w:rPr>
          <w:rFonts w:ascii="Arial" w:hAnsi="Arial" w:cs="Arial"/>
          <w:sz w:val="20"/>
          <w:szCs w:val="20"/>
        </w:rPr>
        <w:t xml:space="preserve"> - accumulated losses + / - items</w:t>
      </w:r>
      <w:r w:rsidR="00DE2E64">
        <w:rPr>
          <w:rFonts w:ascii="Arial" w:hAnsi="Arial" w:cs="Arial"/>
          <w:sz w:val="20"/>
          <w:szCs w:val="20"/>
        </w:rPr>
        <w:t xml:space="preserve"> affecting profit)</w:t>
      </w:r>
    </w:p>
    <w:p w:rsidR="00DE2E64" w:rsidRDefault="00DE2E6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Paying dividend</w:t>
      </w:r>
      <w:r w:rsidR="006F0294" w:rsidRPr="006F0294">
        <w:rPr>
          <w:rFonts w:ascii="Arial" w:hAnsi="Arial" w:cs="Arial"/>
          <w:sz w:val="20"/>
          <w:szCs w:val="20"/>
        </w:rPr>
        <w:t xml:space="preserve"> to s</w:t>
      </w:r>
      <w:r>
        <w:rPr>
          <w:rFonts w:ascii="Arial" w:hAnsi="Arial" w:cs="Arial"/>
          <w:sz w:val="20"/>
          <w:szCs w:val="20"/>
        </w:rPr>
        <w:t>hareholders at the rate of 5% of the charter capital</w:t>
      </w:r>
    </w:p>
    <w:p w:rsidR="00DE2E64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Deduction of the reward and welfare fund at the rate of 5% of profit after tax permitted to </w:t>
      </w:r>
      <w:r w:rsidR="00DE2E64">
        <w:rPr>
          <w:rFonts w:ascii="Arial" w:hAnsi="Arial" w:cs="Arial"/>
          <w:sz w:val="20"/>
          <w:szCs w:val="20"/>
        </w:rPr>
        <w:t>distribute</w:t>
      </w:r>
      <w:r w:rsidRPr="006F0294">
        <w:rPr>
          <w:rFonts w:ascii="Arial" w:hAnsi="Arial" w:cs="Arial"/>
          <w:sz w:val="20"/>
          <w:szCs w:val="20"/>
        </w:rPr>
        <w:t xml:space="preserve"> (Profit</w:t>
      </w:r>
      <w:r w:rsidR="00DE2E64">
        <w:rPr>
          <w:rFonts w:ascii="Arial" w:hAnsi="Arial" w:cs="Arial"/>
          <w:sz w:val="20"/>
          <w:szCs w:val="20"/>
        </w:rPr>
        <w:t xml:space="preserve"> allowed to be distributed = Profit after tax</w:t>
      </w:r>
      <w:r w:rsidRPr="006F0294">
        <w:rPr>
          <w:rFonts w:ascii="Arial" w:hAnsi="Arial" w:cs="Arial"/>
          <w:sz w:val="20"/>
          <w:szCs w:val="20"/>
        </w:rPr>
        <w:t xml:space="preserve"> - accumu</w:t>
      </w:r>
      <w:r w:rsidR="00DE2E64">
        <w:rPr>
          <w:rFonts w:ascii="Arial" w:hAnsi="Arial" w:cs="Arial"/>
          <w:sz w:val="20"/>
          <w:szCs w:val="20"/>
        </w:rPr>
        <w:t>lated loss – appropriation to funds)</w:t>
      </w:r>
    </w:p>
    <w:p w:rsidR="00DE2E64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Retained profit: </w:t>
      </w:r>
      <w:r w:rsidR="00DE2E64">
        <w:rPr>
          <w:rFonts w:ascii="Arial" w:hAnsi="Arial" w:cs="Arial"/>
          <w:sz w:val="20"/>
          <w:szCs w:val="20"/>
        </w:rPr>
        <w:t>Retained a</w:t>
      </w:r>
      <w:r w:rsidRPr="006F0294">
        <w:rPr>
          <w:rFonts w:ascii="Arial" w:hAnsi="Arial" w:cs="Arial"/>
          <w:sz w:val="20"/>
          <w:szCs w:val="20"/>
        </w:rPr>
        <w:t>fter-tax profit after offsetting accumulated losses of the previous year, setting aside compulsory</w:t>
      </w:r>
      <w:r w:rsidR="00DE2E64">
        <w:rPr>
          <w:rFonts w:ascii="Arial" w:hAnsi="Arial" w:cs="Arial"/>
          <w:sz w:val="20"/>
          <w:szCs w:val="20"/>
        </w:rPr>
        <w:t xml:space="preserve"> reserve funds, dividend payment</w:t>
      </w:r>
      <w:r w:rsidRPr="006F0294">
        <w:rPr>
          <w:rFonts w:ascii="Arial" w:hAnsi="Arial" w:cs="Arial"/>
          <w:sz w:val="20"/>
          <w:szCs w:val="20"/>
        </w:rPr>
        <w:t xml:space="preserve"> and deducting bonus and welfare fund in </w:t>
      </w:r>
      <w:r w:rsidR="00DE2E64">
        <w:rPr>
          <w:rFonts w:ascii="Arial" w:hAnsi="Arial" w:cs="Arial"/>
          <w:sz w:val="20"/>
          <w:szCs w:val="20"/>
        </w:rPr>
        <w:t>items 4.</w:t>
      </w:r>
      <w:r w:rsidRPr="006F0294">
        <w:rPr>
          <w:rFonts w:ascii="Arial" w:hAnsi="Arial" w:cs="Arial"/>
          <w:sz w:val="20"/>
          <w:szCs w:val="20"/>
        </w:rPr>
        <w:t>2.</w:t>
      </w:r>
      <w:r w:rsidR="00DE2E64">
        <w:rPr>
          <w:rFonts w:ascii="Arial" w:hAnsi="Arial" w:cs="Arial"/>
          <w:sz w:val="20"/>
          <w:szCs w:val="20"/>
        </w:rPr>
        <w:t>1;</w:t>
      </w:r>
      <w:r w:rsidRPr="006F0294">
        <w:rPr>
          <w:rFonts w:ascii="Arial" w:hAnsi="Arial" w:cs="Arial"/>
          <w:sz w:val="20"/>
          <w:szCs w:val="20"/>
        </w:rPr>
        <w:t xml:space="preserve"> 4</w:t>
      </w:r>
      <w:r w:rsidR="00DE2E64">
        <w:rPr>
          <w:rFonts w:ascii="Arial" w:hAnsi="Arial" w:cs="Arial"/>
          <w:sz w:val="20"/>
          <w:szCs w:val="20"/>
        </w:rPr>
        <w:t>.2.2;</w:t>
      </w:r>
      <w:r w:rsidRPr="006F0294">
        <w:rPr>
          <w:rFonts w:ascii="Arial" w:hAnsi="Arial" w:cs="Arial"/>
          <w:sz w:val="20"/>
          <w:szCs w:val="20"/>
        </w:rPr>
        <w:t xml:space="preserve"> 4</w:t>
      </w:r>
      <w:r w:rsidR="00DE2E64">
        <w:rPr>
          <w:rFonts w:ascii="Arial" w:hAnsi="Arial" w:cs="Arial"/>
          <w:sz w:val="20"/>
          <w:szCs w:val="20"/>
        </w:rPr>
        <w:t xml:space="preserve">.2.3; </w:t>
      </w:r>
      <w:r w:rsidRPr="006F0294">
        <w:rPr>
          <w:rFonts w:ascii="Arial" w:hAnsi="Arial" w:cs="Arial"/>
          <w:sz w:val="20"/>
          <w:szCs w:val="20"/>
        </w:rPr>
        <w:t>4</w:t>
      </w:r>
      <w:r w:rsidR="00DE2E64">
        <w:rPr>
          <w:rFonts w:ascii="Arial" w:hAnsi="Arial" w:cs="Arial"/>
          <w:sz w:val="20"/>
          <w:szCs w:val="20"/>
        </w:rPr>
        <w:t>.2.</w:t>
      </w:r>
      <w:r w:rsidRPr="006F0294">
        <w:rPr>
          <w:rFonts w:ascii="Arial" w:hAnsi="Arial" w:cs="Arial"/>
          <w:sz w:val="20"/>
          <w:szCs w:val="20"/>
        </w:rPr>
        <w:t xml:space="preserve">4 </w:t>
      </w:r>
      <w:r w:rsidR="00DE2E64">
        <w:rPr>
          <w:rFonts w:ascii="Arial" w:hAnsi="Arial" w:cs="Arial"/>
          <w:sz w:val="20"/>
          <w:szCs w:val="20"/>
        </w:rPr>
        <w:t>mentioned above</w:t>
      </w:r>
    </w:p>
    <w:p w:rsidR="00DE2E64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In order to be proactive in implementing the profit distribution plan in 2020, the General Me</w:t>
      </w:r>
      <w:r w:rsidR="00DE2E64">
        <w:rPr>
          <w:rFonts w:ascii="Arial" w:hAnsi="Arial" w:cs="Arial"/>
          <w:sz w:val="20"/>
          <w:szCs w:val="20"/>
        </w:rPr>
        <w:t>eting of Shareholders authorized</w:t>
      </w:r>
      <w:r w:rsidRPr="006F0294">
        <w:rPr>
          <w:rFonts w:ascii="Arial" w:hAnsi="Arial" w:cs="Arial"/>
          <w:sz w:val="20"/>
          <w:szCs w:val="20"/>
        </w:rPr>
        <w:t xml:space="preserve"> the Board of Directors to decide the time and level of dividend advance of 2020 depending on the business results and capital of the Company</w:t>
      </w:r>
    </w:p>
    <w:p w:rsidR="00FA5CFC" w:rsidRDefault="00DE2E6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6F0294" w:rsidRPr="006F0294">
        <w:rPr>
          <w:rFonts w:ascii="Arial" w:hAnsi="Arial" w:cs="Arial"/>
          <w:sz w:val="20"/>
          <w:szCs w:val="20"/>
        </w:rPr>
        <w:t xml:space="preserve">The Company's General </w:t>
      </w:r>
      <w:r>
        <w:rPr>
          <w:rFonts w:ascii="Arial" w:hAnsi="Arial" w:cs="Arial"/>
          <w:sz w:val="20"/>
          <w:szCs w:val="20"/>
        </w:rPr>
        <w:t>Meeting of Shareholders approved</w:t>
      </w:r>
      <w:r w:rsidR="006F0294" w:rsidRPr="006F0294">
        <w:rPr>
          <w:rFonts w:ascii="Arial" w:hAnsi="Arial" w:cs="Arial"/>
          <w:sz w:val="20"/>
          <w:szCs w:val="20"/>
        </w:rPr>
        <w:t xml:space="preserve"> re</w:t>
      </w:r>
      <w:r w:rsidR="00FA5CFC">
        <w:rPr>
          <w:rFonts w:ascii="Arial" w:hAnsi="Arial" w:cs="Arial"/>
          <w:sz w:val="20"/>
          <w:szCs w:val="20"/>
        </w:rPr>
        <w:t>muneration for 2019 and approved</w:t>
      </w:r>
      <w:r w:rsidR="006F0294" w:rsidRPr="006F0294">
        <w:rPr>
          <w:rFonts w:ascii="Arial" w:hAnsi="Arial" w:cs="Arial"/>
          <w:sz w:val="20"/>
          <w:szCs w:val="20"/>
        </w:rPr>
        <w:t xml:space="preserve"> the remuneration plan for the Board of Directors and Supervisory Board in 2020 as follows: </w:t>
      </w:r>
    </w:p>
    <w:p w:rsidR="00FA5CFC" w:rsidRDefault="00FA5C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F0294" w:rsidRPr="006F0294">
        <w:rPr>
          <w:rFonts w:ascii="Arial" w:hAnsi="Arial" w:cs="Arial"/>
          <w:sz w:val="20"/>
          <w:szCs w:val="20"/>
        </w:rPr>
        <w:t xml:space="preserve">Approving payment of remuneration in 2019: </w:t>
      </w:r>
    </w:p>
    <w:p w:rsidR="00FA5CFC" w:rsidRDefault="00FA5C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Chairman of the Board of Directors: VND 46,200,</w:t>
      </w:r>
      <w:r w:rsidR="006F0294" w:rsidRPr="006F0294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/ </w:t>
      </w:r>
      <w:r w:rsidR="006F0294"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- Member of the Boa</w:t>
      </w:r>
      <w:r w:rsidR="00FA5CFC">
        <w:rPr>
          <w:rFonts w:ascii="Arial" w:hAnsi="Arial" w:cs="Arial"/>
          <w:sz w:val="20"/>
          <w:szCs w:val="20"/>
        </w:rPr>
        <w:t>rd of Directors acting as Director: VND 46,200,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Member of the </w:t>
      </w:r>
      <w:r w:rsidR="00FA5CFC">
        <w:rPr>
          <w:rFonts w:ascii="Arial" w:hAnsi="Arial" w:cs="Arial"/>
          <w:sz w:val="20"/>
          <w:szCs w:val="20"/>
        </w:rPr>
        <w:t>Board of Directors</w:t>
      </w:r>
      <w:r w:rsidRPr="006F0294">
        <w:rPr>
          <w:rFonts w:ascii="Arial" w:hAnsi="Arial" w:cs="Arial"/>
          <w:sz w:val="20"/>
          <w:szCs w:val="20"/>
        </w:rPr>
        <w:t xml:space="preserve">: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36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960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>person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- Head of the Supervisory Bo</w:t>
      </w:r>
      <w:r w:rsidR="00FA5CFC">
        <w:rPr>
          <w:rFonts w:ascii="Arial" w:hAnsi="Arial" w:cs="Arial"/>
          <w:sz w:val="20"/>
          <w:szCs w:val="20"/>
        </w:rPr>
        <w:t>ard: VND 36,960,000/ year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Members of the Supervisory Board: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18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480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>person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The to</w:t>
      </w:r>
      <w:r w:rsidR="00FA5CFC">
        <w:rPr>
          <w:rFonts w:ascii="Arial" w:hAnsi="Arial" w:cs="Arial"/>
          <w:sz w:val="20"/>
          <w:szCs w:val="20"/>
        </w:rPr>
        <w:t>tal remuneration payment for 2019:</w:t>
      </w:r>
      <w:r w:rsidRPr="006F0294">
        <w:rPr>
          <w:rFonts w:ascii="Arial" w:hAnsi="Arial" w:cs="Arial"/>
          <w:sz w:val="20"/>
          <w:szCs w:val="20"/>
        </w:rPr>
        <w:t xml:space="preserve">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277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200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 xml:space="preserve">000 </w:t>
      </w:r>
    </w:p>
    <w:p w:rsidR="00FA5CFC" w:rsidRDefault="00FA5C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F0294" w:rsidRPr="006F0294">
        <w:rPr>
          <w:rFonts w:ascii="Arial" w:hAnsi="Arial" w:cs="Arial"/>
          <w:sz w:val="20"/>
          <w:szCs w:val="20"/>
        </w:rPr>
        <w:t xml:space="preserve"> Estimated remuneration for 2020: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Chairman of the Board: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60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- Member of th</w:t>
      </w:r>
      <w:r w:rsidR="00FA5CFC">
        <w:rPr>
          <w:rFonts w:ascii="Arial" w:hAnsi="Arial" w:cs="Arial"/>
          <w:sz w:val="20"/>
          <w:szCs w:val="20"/>
        </w:rPr>
        <w:t>e Board of Directors acting as D</w:t>
      </w:r>
      <w:r w:rsidRPr="006F0294">
        <w:rPr>
          <w:rFonts w:ascii="Arial" w:hAnsi="Arial" w:cs="Arial"/>
          <w:sz w:val="20"/>
          <w:szCs w:val="20"/>
        </w:rPr>
        <w:t xml:space="preserve">irector: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60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Member of the </w:t>
      </w:r>
      <w:r w:rsidR="00FA5CFC">
        <w:rPr>
          <w:rFonts w:ascii="Arial" w:hAnsi="Arial" w:cs="Arial"/>
          <w:sz w:val="20"/>
          <w:szCs w:val="20"/>
        </w:rPr>
        <w:t>Board of Directors</w:t>
      </w:r>
      <w:r w:rsidRPr="006F0294">
        <w:rPr>
          <w:rFonts w:ascii="Arial" w:hAnsi="Arial" w:cs="Arial"/>
          <w:sz w:val="20"/>
          <w:szCs w:val="20"/>
        </w:rPr>
        <w:t xml:space="preserve">: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48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>person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- Head of the Supervisory Boa</w:t>
      </w:r>
      <w:r w:rsidR="00FA5CFC">
        <w:rPr>
          <w:rFonts w:ascii="Arial" w:hAnsi="Arial" w:cs="Arial"/>
          <w:sz w:val="20"/>
          <w:szCs w:val="20"/>
        </w:rPr>
        <w:t>rd: VND 48,000,000/ year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- Members of the Supervisory Board: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24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>person</w:t>
      </w:r>
      <w:r w:rsidR="00FA5CFC">
        <w:rPr>
          <w:rFonts w:ascii="Arial" w:hAnsi="Arial" w:cs="Arial"/>
          <w:sz w:val="20"/>
          <w:szCs w:val="20"/>
        </w:rPr>
        <w:t xml:space="preserve">/ </w:t>
      </w:r>
      <w:r w:rsidRPr="006F0294">
        <w:rPr>
          <w:rFonts w:ascii="Arial" w:hAnsi="Arial" w:cs="Arial"/>
          <w:sz w:val="20"/>
          <w:szCs w:val="20"/>
        </w:rPr>
        <w:t xml:space="preserve">year </w:t>
      </w:r>
    </w:p>
    <w:p w:rsidR="00FA5CFC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>The t</w:t>
      </w:r>
      <w:r w:rsidR="00FA5CFC">
        <w:rPr>
          <w:rFonts w:ascii="Arial" w:hAnsi="Arial" w:cs="Arial"/>
          <w:sz w:val="20"/>
          <w:szCs w:val="20"/>
        </w:rPr>
        <w:t>otal estimated remuneration payment for 2020:</w:t>
      </w:r>
      <w:r w:rsidRPr="006F0294">
        <w:rPr>
          <w:rFonts w:ascii="Arial" w:hAnsi="Arial" w:cs="Arial"/>
          <w:sz w:val="20"/>
          <w:szCs w:val="20"/>
        </w:rPr>
        <w:t xml:space="preserve"> </w:t>
      </w:r>
      <w:r w:rsidR="00FA5CFC">
        <w:rPr>
          <w:rFonts w:ascii="Arial" w:hAnsi="Arial" w:cs="Arial"/>
          <w:sz w:val="20"/>
          <w:szCs w:val="20"/>
        </w:rPr>
        <w:t xml:space="preserve">VND </w:t>
      </w:r>
      <w:r w:rsidRPr="006F0294">
        <w:rPr>
          <w:rFonts w:ascii="Arial" w:hAnsi="Arial" w:cs="Arial"/>
          <w:sz w:val="20"/>
          <w:szCs w:val="20"/>
        </w:rPr>
        <w:t>360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>000</w:t>
      </w:r>
      <w:r w:rsidR="00FA5CFC">
        <w:rPr>
          <w:rFonts w:ascii="Arial" w:hAnsi="Arial" w:cs="Arial"/>
          <w:sz w:val="20"/>
          <w:szCs w:val="20"/>
        </w:rPr>
        <w:t>,</w:t>
      </w:r>
      <w:r w:rsidRPr="006F0294">
        <w:rPr>
          <w:rFonts w:ascii="Arial" w:hAnsi="Arial" w:cs="Arial"/>
          <w:sz w:val="20"/>
          <w:szCs w:val="20"/>
        </w:rPr>
        <w:t xml:space="preserve">000 </w:t>
      </w:r>
    </w:p>
    <w:p w:rsidR="009B385D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In case the realized profit in 2020 is lower than the planned profit, </w:t>
      </w:r>
      <w:r w:rsidR="00FA5CFC">
        <w:rPr>
          <w:rFonts w:ascii="Arial" w:hAnsi="Arial" w:cs="Arial"/>
          <w:sz w:val="20"/>
          <w:szCs w:val="20"/>
        </w:rPr>
        <w:t>the remuneration paid in 2020 to</w:t>
      </w:r>
      <w:r w:rsidRPr="006F0294">
        <w:rPr>
          <w:rFonts w:ascii="Arial" w:hAnsi="Arial" w:cs="Arial"/>
          <w:sz w:val="20"/>
          <w:szCs w:val="20"/>
        </w:rPr>
        <w:t xml:space="preserve"> the Board of Directors and the Supervisory Board will be adjusted accor</w:t>
      </w:r>
      <w:r w:rsidR="009B385D">
        <w:rPr>
          <w:rFonts w:ascii="Arial" w:hAnsi="Arial" w:cs="Arial"/>
          <w:sz w:val="20"/>
          <w:szCs w:val="20"/>
        </w:rPr>
        <w:t>ding to the corresponding ratio</w:t>
      </w:r>
    </w:p>
    <w:p w:rsidR="009C13BE" w:rsidRDefault="00FA5CFC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5: Approving the selection of an</w:t>
      </w:r>
      <w:r w:rsidR="006F0294" w:rsidRPr="006F0294">
        <w:rPr>
          <w:rFonts w:ascii="Arial" w:hAnsi="Arial" w:cs="Arial"/>
          <w:sz w:val="20"/>
          <w:szCs w:val="20"/>
        </w:rPr>
        <w:t xml:space="preserve"> auditing company</w:t>
      </w:r>
      <w:r>
        <w:rPr>
          <w:rFonts w:ascii="Arial" w:hAnsi="Arial" w:cs="Arial"/>
          <w:sz w:val="20"/>
          <w:szCs w:val="20"/>
        </w:rPr>
        <w:t xml:space="preserve"> to audit</w:t>
      </w:r>
      <w:r w:rsidR="006F0294" w:rsidRPr="006F0294">
        <w:rPr>
          <w:rFonts w:ascii="Arial" w:hAnsi="Arial" w:cs="Arial"/>
          <w:sz w:val="20"/>
          <w:szCs w:val="20"/>
        </w:rPr>
        <w:t xml:space="preserve"> financial statements in 2010: the General Mee</w:t>
      </w:r>
      <w:r>
        <w:rPr>
          <w:rFonts w:ascii="Arial" w:hAnsi="Arial" w:cs="Arial"/>
          <w:sz w:val="20"/>
          <w:szCs w:val="20"/>
        </w:rPr>
        <w:t>ting of Shareholders</w:t>
      </w:r>
      <w:r w:rsidR="006F0294" w:rsidRPr="006F0294">
        <w:rPr>
          <w:rFonts w:ascii="Arial" w:hAnsi="Arial" w:cs="Arial"/>
          <w:sz w:val="20"/>
          <w:szCs w:val="20"/>
        </w:rPr>
        <w:t xml:space="preserve"> authorized the </w:t>
      </w:r>
      <w:r>
        <w:rPr>
          <w:rFonts w:ascii="Arial" w:hAnsi="Arial" w:cs="Arial"/>
          <w:sz w:val="20"/>
          <w:szCs w:val="20"/>
        </w:rPr>
        <w:t>Board of Directors to select an</w:t>
      </w:r>
      <w:r w:rsidR="006F0294" w:rsidRPr="006F0294">
        <w:rPr>
          <w:rFonts w:ascii="Arial" w:hAnsi="Arial" w:cs="Arial"/>
          <w:sz w:val="20"/>
          <w:szCs w:val="20"/>
        </w:rPr>
        <w:t xml:space="preserve"> auditing company </w:t>
      </w:r>
      <w:r w:rsidR="009B385D">
        <w:rPr>
          <w:rFonts w:ascii="Arial" w:hAnsi="Arial" w:cs="Arial"/>
          <w:sz w:val="20"/>
          <w:szCs w:val="20"/>
        </w:rPr>
        <w:t>for 2020 which is</w:t>
      </w:r>
      <w:r w:rsidR="006F0294" w:rsidRPr="006F0294">
        <w:rPr>
          <w:rFonts w:ascii="Arial" w:hAnsi="Arial" w:cs="Arial"/>
          <w:sz w:val="20"/>
          <w:szCs w:val="20"/>
        </w:rPr>
        <w:t xml:space="preserve"> one of the companies named in the list of auditing companies approved by </w:t>
      </w:r>
      <w:r w:rsidR="009B385D">
        <w:rPr>
          <w:rFonts w:ascii="Arial" w:hAnsi="Arial" w:cs="Arial"/>
          <w:sz w:val="20"/>
          <w:szCs w:val="20"/>
        </w:rPr>
        <w:t>the State Securities Committee</w:t>
      </w:r>
      <w:r w:rsidR="006F0294" w:rsidRPr="006F0294">
        <w:rPr>
          <w:rFonts w:ascii="Arial" w:hAnsi="Arial" w:cs="Arial"/>
          <w:sz w:val="20"/>
          <w:szCs w:val="20"/>
        </w:rPr>
        <w:t xml:space="preserve"> to conduct review and audit of the Company</w:t>
      </w:r>
      <w:r w:rsidR="009B385D">
        <w:rPr>
          <w:rFonts w:ascii="Arial" w:hAnsi="Arial" w:cs="Arial"/>
          <w:sz w:val="20"/>
          <w:szCs w:val="20"/>
        </w:rPr>
        <w:t>'s financial statements in 2020</w:t>
      </w:r>
    </w:p>
    <w:p w:rsidR="009B385D" w:rsidRDefault="009B385D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</w:t>
      </w:r>
      <w:r w:rsidR="006F0294" w:rsidRPr="006F0294">
        <w:rPr>
          <w:rFonts w:ascii="Arial" w:hAnsi="Arial" w:cs="Arial"/>
          <w:sz w:val="20"/>
          <w:szCs w:val="20"/>
        </w:rPr>
        <w:t xml:space="preserve"> Implementation provisions </w:t>
      </w:r>
    </w:p>
    <w:p w:rsidR="009C13BE" w:rsidRDefault="006F0294" w:rsidP="00F903A5">
      <w:pPr>
        <w:jc w:val="both"/>
        <w:rPr>
          <w:rFonts w:ascii="Arial" w:hAnsi="Arial" w:cs="Arial"/>
          <w:sz w:val="20"/>
          <w:szCs w:val="20"/>
        </w:rPr>
      </w:pPr>
      <w:r w:rsidRPr="006F0294">
        <w:rPr>
          <w:rFonts w:ascii="Arial" w:hAnsi="Arial" w:cs="Arial"/>
          <w:sz w:val="20"/>
          <w:szCs w:val="20"/>
        </w:rPr>
        <w:t xml:space="preserve">This </w:t>
      </w:r>
      <w:r w:rsidR="009B385D">
        <w:rPr>
          <w:rFonts w:ascii="Arial" w:hAnsi="Arial" w:cs="Arial"/>
          <w:sz w:val="20"/>
          <w:szCs w:val="20"/>
        </w:rPr>
        <w:t>General Mandate</w:t>
      </w:r>
      <w:r w:rsidRPr="006F0294">
        <w:rPr>
          <w:rFonts w:ascii="Arial" w:hAnsi="Arial" w:cs="Arial"/>
          <w:sz w:val="20"/>
          <w:szCs w:val="20"/>
        </w:rPr>
        <w:t xml:space="preserve"> is made, announced and agreed </w:t>
      </w:r>
      <w:r w:rsidR="009B385D">
        <w:rPr>
          <w:rFonts w:ascii="Arial" w:hAnsi="Arial" w:cs="Arial"/>
          <w:sz w:val="20"/>
          <w:szCs w:val="20"/>
        </w:rPr>
        <w:t>before</w:t>
      </w:r>
      <w:r w:rsidRPr="006F0294">
        <w:rPr>
          <w:rFonts w:ascii="Arial" w:hAnsi="Arial" w:cs="Arial"/>
          <w:sz w:val="20"/>
          <w:szCs w:val="20"/>
        </w:rPr>
        <w:t xml:space="preserve"> all shareholders</w:t>
      </w:r>
      <w:r w:rsidR="009B385D">
        <w:rPr>
          <w:rFonts w:ascii="Arial" w:hAnsi="Arial" w:cs="Arial"/>
          <w:sz w:val="20"/>
          <w:szCs w:val="20"/>
        </w:rPr>
        <w:t xml:space="preserve"> at 11:20 am on March 9, 2020. </w:t>
      </w:r>
      <w:r w:rsidRPr="006F0294">
        <w:rPr>
          <w:rFonts w:ascii="Arial" w:hAnsi="Arial" w:cs="Arial"/>
          <w:sz w:val="20"/>
          <w:szCs w:val="20"/>
        </w:rPr>
        <w:t xml:space="preserve">The Board of Directors of the Company shall base on the content of this Resolution to implement </w:t>
      </w:r>
      <w:r w:rsidR="009B385D">
        <w:rPr>
          <w:rFonts w:ascii="Arial" w:hAnsi="Arial" w:cs="Arial"/>
          <w:sz w:val="20"/>
          <w:szCs w:val="20"/>
        </w:rPr>
        <w:t xml:space="preserve">in accordance with </w:t>
      </w:r>
      <w:r w:rsidRPr="006F0294">
        <w:rPr>
          <w:rFonts w:ascii="Arial" w:hAnsi="Arial" w:cs="Arial"/>
          <w:sz w:val="20"/>
          <w:szCs w:val="20"/>
        </w:rPr>
        <w:t>the law and the Charter of the Company</w:t>
      </w:r>
    </w:p>
    <w:sectPr w:rsidR="009C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32EC5"/>
    <w:rsid w:val="00197CF1"/>
    <w:rsid w:val="002D53EE"/>
    <w:rsid w:val="002E7FD0"/>
    <w:rsid w:val="00304722"/>
    <w:rsid w:val="00327CF7"/>
    <w:rsid w:val="003B73F7"/>
    <w:rsid w:val="00467BC0"/>
    <w:rsid w:val="00496733"/>
    <w:rsid w:val="00503DD6"/>
    <w:rsid w:val="0058434E"/>
    <w:rsid w:val="005B40E5"/>
    <w:rsid w:val="006E15A6"/>
    <w:rsid w:val="006F0294"/>
    <w:rsid w:val="00745D9A"/>
    <w:rsid w:val="007A1FCC"/>
    <w:rsid w:val="007B67AF"/>
    <w:rsid w:val="0084485C"/>
    <w:rsid w:val="008544C2"/>
    <w:rsid w:val="009B385D"/>
    <w:rsid w:val="009C13BE"/>
    <w:rsid w:val="009E1744"/>
    <w:rsid w:val="00A128FC"/>
    <w:rsid w:val="00A63B6C"/>
    <w:rsid w:val="00AF67BE"/>
    <w:rsid w:val="00B70D7E"/>
    <w:rsid w:val="00B92B75"/>
    <w:rsid w:val="00BA1F12"/>
    <w:rsid w:val="00BA3FB7"/>
    <w:rsid w:val="00BD3CCA"/>
    <w:rsid w:val="00BF2439"/>
    <w:rsid w:val="00D051B4"/>
    <w:rsid w:val="00D52C26"/>
    <w:rsid w:val="00D74339"/>
    <w:rsid w:val="00DD7273"/>
    <w:rsid w:val="00DE2E64"/>
    <w:rsid w:val="00E1507C"/>
    <w:rsid w:val="00F86F7A"/>
    <w:rsid w:val="00F903A5"/>
    <w:rsid w:val="00FA5CFC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34</cp:revision>
  <dcterms:created xsi:type="dcterms:W3CDTF">2019-10-16T10:03:00Z</dcterms:created>
  <dcterms:modified xsi:type="dcterms:W3CDTF">2020-03-17T16:42:00Z</dcterms:modified>
</cp:coreProperties>
</file>